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33E0" w14:textId="4F14BB5A" w:rsidR="00422E89" w:rsidRPr="00422E89" w:rsidRDefault="00422E89" w:rsidP="006D0A48">
      <w:pPr>
        <w:pStyle w:val="Title"/>
        <w:rPr>
          <w:sz w:val="50"/>
          <w:szCs w:val="50"/>
        </w:rPr>
      </w:pPr>
      <w:r w:rsidRPr="00422E89">
        <w:rPr>
          <w:caps w:val="0"/>
          <w:sz w:val="50"/>
          <w:szCs w:val="50"/>
        </w:rPr>
        <w:t>MSc Biomedical Science (Clinical Biochemistry</w:t>
      </w:r>
      <w:r w:rsidRPr="00422E89">
        <w:rPr>
          <w:sz w:val="50"/>
          <w:szCs w:val="50"/>
        </w:rPr>
        <w:t>)</w:t>
      </w:r>
    </w:p>
    <w:p w14:paraId="528317ED" w14:textId="77777777" w:rsidR="00A51E48" w:rsidRPr="004C3244" w:rsidRDefault="00721B5C" w:rsidP="006D0A48">
      <w:pPr>
        <w:spacing w:after="0"/>
      </w:pPr>
      <w:hyperlink r:id="rId10" w:history="1">
        <w:r w:rsidR="00A51E48" w:rsidRPr="0014554F">
          <w:rPr>
            <w:rStyle w:val="Hyperlink"/>
            <w:sz w:val="19"/>
            <w:szCs w:val="19"/>
          </w:rPr>
          <w:t>Biomedical Science (Clinical Microbiology), MSc / PGDip - Swansea University</w:t>
        </w:r>
      </w:hyperlink>
    </w:p>
    <w:tbl>
      <w:tblPr>
        <w:tblStyle w:val="TableGrid"/>
        <w:tblpPr w:leftFromText="180" w:rightFromText="180" w:vertAnchor="text" w:horzAnchor="margin" w:tblpY="53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041EC" w:rsidRPr="00A51E48" w14:paraId="26814CAC" w14:textId="77777777" w:rsidTr="00010926">
        <w:tc>
          <w:tcPr>
            <w:tcW w:w="4673" w:type="dxa"/>
          </w:tcPr>
          <w:p w14:paraId="52ACD627" w14:textId="77777777" w:rsidR="00D041EC" w:rsidRPr="00A51E48" w:rsidRDefault="00D041EC" w:rsidP="00D041EC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A51E48">
              <w:rPr>
                <w:rFonts w:cstheme="minorHAns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4BA0764D" w14:textId="696D1149" w:rsidR="00D041EC" w:rsidRPr="00A51E48" w:rsidRDefault="00AD310C" w:rsidP="00D041EC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 xml:space="preserve">January 2024: </w:t>
            </w:r>
            <w:r w:rsidR="00010926">
              <w:rPr>
                <w:rFonts w:cstheme="minorHAnsi"/>
                <w:kern w:val="24"/>
                <w:sz w:val="21"/>
                <w:szCs w:val="21"/>
              </w:rPr>
              <w:t>£1</w:t>
            </w:r>
            <w:r w:rsidR="00721B5C">
              <w:rPr>
                <w:rFonts w:cstheme="minorHAnsi"/>
                <w:kern w:val="24"/>
                <w:sz w:val="21"/>
                <w:szCs w:val="21"/>
              </w:rPr>
              <w:t>8</w:t>
            </w:r>
            <w:r w:rsidR="00010926">
              <w:rPr>
                <w:rFonts w:cstheme="minorHAnsi"/>
                <w:kern w:val="24"/>
                <w:sz w:val="21"/>
                <w:szCs w:val="21"/>
              </w:rPr>
              <w:t xml:space="preserve">,900 or </w:t>
            </w:r>
            <w:r w:rsidR="00D041EC" w:rsidRPr="00A51E48">
              <w:rPr>
                <w:rFonts w:cstheme="minorHAnsi"/>
                <w:kern w:val="24"/>
                <w:sz w:val="21"/>
                <w:szCs w:val="21"/>
              </w:rPr>
              <w:t>September 202</w:t>
            </w:r>
            <w:r w:rsidR="007824C6">
              <w:rPr>
                <w:rFonts w:cstheme="minorHAnsi"/>
                <w:kern w:val="24"/>
                <w:sz w:val="21"/>
                <w:szCs w:val="21"/>
              </w:rPr>
              <w:t>4</w:t>
            </w:r>
            <w:r w:rsidR="00D041EC" w:rsidRPr="00A51E48">
              <w:rPr>
                <w:rFonts w:cstheme="minorHAnsi"/>
                <w:kern w:val="24"/>
                <w:sz w:val="21"/>
                <w:szCs w:val="21"/>
              </w:rPr>
              <w:t>: £</w:t>
            </w:r>
            <w:r w:rsidR="007824C6">
              <w:rPr>
                <w:rFonts w:cstheme="minorHAnsi"/>
                <w:kern w:val="24"/>
                <w:sz w:val="21"/>
                <w:szCs w:val="21"/>
              </w:rPr>
              <w:t>19,850</w:t>
            </w:r>
          </w:p>
        </w:tc>
        <w:tc>
          <w:tcPr>
            <w:tcW w:w="4394" w:type="dxa"/>
          </w:tcPr>
          <w:p w14:paraId="65E74388" w14:textId="77777777" w:rsidR="00D041EC" w:rsidRPr="00A51E48" w:rsidRDefault="00D041EC" w:rsidP="00D041EC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A51E48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7416B742" w14:textId="77777777" w:rsidR="00D041EC" w:rsidRPr="00A51E48" w:rsidRDefault="00D041EC" w:rsidP="00D041EC">
            <w:pPr>
              <w:rPr>
                <w:rFonts w:cstheme="minorHAnsi"/>
                <w:kern w:val="24"/>
                <w:sz w:val="21"/>
                <w:szCs w:val="21"/>
              </w:rPr>
            </w:pPr>
            <w:r w:rsidRPr="00A51E48">
              <w:rPr>
                <w:rFonts w:cstheme="minorHAnsi"/>
                <w:kern w:val="24"/>
                <w:sz w:val="21"/>
                <w:szCs w:val="21"/>
              </w:rPr>
              <w:t xml:space="preserve">September and January </w:t>
            </w:r>
            <w:r w:rsidRPr="00A51E48">
              <w:rPr>
                <w:rFonts w:cstheme="minorHAns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D041EC" w:rsidRPr="00A51E48" w14:paraId="7C82C980" w14:textId="77777777" w:rsidTr="00D041EC">
        <w:tc>
          <w:tcPr>
            <w:tcW w:w="9067" w:type="dxa"/>
            <w:gridSpan w:val="2"/>
          </w:tcPr>
          <w:p w14:paraId="49673953" w14:textId="77777777" w:rsidR="00D041EC" w:rsidRPr="00F61381" w:rsidRDefault="00D041EC" w:rsidP="00D041EC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Suitable Academic Background: </w:t>
            </w:r>
            <w:r>
              <w:rPr>
                <w:rFonts w:cstheme="minorHAnsi"/>
                <w:kern w:val="24"/>
                <w:sz w:val="21"/>
                <w:szCs w:val="21"/>
              </w:rPr>
              <w:t xml:space="preserve">minimum UK 2:2 degree </w:t>
            </w:r>
            <w:hyperlink r:id="rId11" w:history="1">
              <w:r w:rsidRPr="00CC4606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180F1300" w14:textId="77777777" w:rsidR="00D041EC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 xml:space="preserve">Biochemistry / </w:t>
            </w:r>
            <w:r w:rsidRPr="00DE39B6">
              <w:rPr>
                <w:rFonts w:cstheme="minorHAnsi"/>
                <w:kern w:val="24"/>
                <w:sz w:val="21"/>
                <w:szCs w:val="21"/>
              </w:rPr>
              <w:t>Chemistry</w:t>
            </w:r>
          </w:p>
          <w:p w14:paraId="1558A56B" w14:textId="77777777" w:rsidR="00D041EC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Biotechnology/Microbiology</w:t>
            </w:r>
          </w:p>
          <w:p w14:paraId="04CEB91D" w14:textId="77777777" w:rsidR="00D041EC" w:rsidRPr="00DE39B6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Genetics/ Medical Genetics</w:t>
            </w:r>
          </w:p>
          <w:p w14:paraId="09A04CB4" w14:textId="77777777" w:rsidR="00D041EC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Clinical or Medical Laboratory Science/ Technology</w:t>
            </w:r>
          </w:p>
          <w:p w14:paraId="65AB4D96" w14:textId="77777777" w:rsidR="00D041EC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Forensic Science</w:t>
            </w:r>
          </w:p>
          <w:p w14:paraId="77CC562B" w14:textId="77777777" w:rsidR="00D041EC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Medicine/ Nursing</w:t>
            </w:r>
          </w:p>
          <w:p w14:paraId="7512B84A" w14:textId="77777777" w:rsidR="00D041EC" w:rsidRPr="009A421A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eastAsiaTheme="minorHAnsi" w:cstheme="minorHAnsi"/>
                <w:kern w:val="24"/>
                <w:sz w:val="21"/>
                <w:szCs w:val="21"/>
              </w:rPr>
            </w:pPr>
            <w:r>
              <w:rPr>
                <w:rFonts w:eastAsiaTheme="minorHAnsi" w:cstheme="minorHAnsi"/>
                <w:kern w:val="24"/>
                <w:sz w:val="21"/>
                <w:szCs w:val="21"/>
              </w:rPr>
              <w:t>Human Biology/Human Physiology/Human Anatomy</w:t>
            </w:r>
          </w:p>
          <w:p w14:paraId="6A34D4B5" w14:textId="77777777" w:rsidR="00D041EC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Pharmacy</w:t>
            </w:r>
          </w:p>
          <w:p w14:paraId="07D11E44" w14:textId="77777777" w:rsidR="00D041EC" w:rsidRPr="00A51E48" w:rsidRDefault="00D041EC" w:rsidP="00D041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Public Health Laboratory</w:t>
            </w:r>
          </w:p>
        </w:tc>
      </w:tr>
      <w:tr w:rsidR="00D041EC" w:rsidRPr="00A51E48" w14:paraId="05A1880E" w14:textId="77777777" w:rsidTr="00D041EC">
        <w:tc>
          <w:tcPr>
            <w:tcW w:w="9067" w:type="dxa"/>
            <w:gridSpan w:val="2"/>
          </w:tcPr>
          <w:p w14:paraId="4079398C" w14:textId="77777777" w:rsidR="00D041EC" w:rsidRDefault="00D041EC" w:rsidP="00D041EC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AE71CC">
              <w:rPr>
                <w:rFonts w:cstheme="minorHAnsi"/>
                <w:b/>
                <w:bCs/>
                <w:kern w:val="24"/>
                <w:sz w:val="21"/>
                <w:szCs w:val="21"/>
              </w:rPr>
              <w:t>English Language Requirement:</w:t>
            </w:r>
            <w:r w:rsidRPr="00AE71CC">
              <w:rPr>
                <w:rFonts w:cstheme="minorHAnsi"/>
                <w:kern w:val="24"/>
                <w:sz w:val="21"/>
                <w:szCs w:val="21"/>
              </w:rPr>
              <w:t xml:space="preserve"> IELTS 6.5 with no less than 6.0 in all components (or Swansea University recognised equivalents)</w:t>
            </w:r>
            <w:r>
              <w:rPr>
                <w:rFonts w:cstheme="minorHAnsi"/>
                <w:kern w:val="24"/>
                <w:sz w:val="21"/>
                <w:szCs w:val="21"/>
              </w:rPr>
              <w:t xml:space="preserve"> </w:t>
            </w:r>
            <w:hyperlink r:id="rId12" w:history="1">
              <w:r w:rsidRPr="00704863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564269F4" w14:textId="77777777" w:rsidR="00D041EC" w:rsidRPr="00F86397" w:rsidRDefault="00D041EC" w:rsidP="00D041EC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4BFC559C" w14:textId="09C2FDEA" w:rsidR="00413569" w:rsidRDefault="00413569" w:rsidP="006D0A48">
      <w:pPr>
        <w:spacing w:after="0"/>
      </w:pPr>
    </w:p>
    <w:p w14:paraId="11E4A327" w14:textId="25C8C78F" w:rsidR="008736B2" w:rsidRPr="00985C41" w:rsidRDefault="008736B2" w:rsidP="006D0A48">
      <w:pPr>
        <w:spacing w:after="0" w:line="240" w:lineRule="auto"/>
        <w:jc w:val="both"/>
        <w:rPr>
          <w:rFonts w:cstheme="minorHAnsi"/>
          <w:b/>
          <w:bCs/>
          <w:kern w:val="24"/>
          <w:sz w:val="20"/>
          <w:szCs w:val="20"/>
        </w:rPr>
      </w:pPr>
      <w:r w:rsidRPr="00985C41">
        <w:rPr>
          <w:rFonts w:cstheme="minorHAnsi"/>
          <w:b/>
          <w:bCs/>
          <w:kern w:val="24"/>
          <w:sz w:val="20"/>
          <w:szCs w:val="20"/>
        </w:rPr>
        <w:t>What</w:t>
      </w:r>
      <w:r w:rsidR="005F30F0" w:rsidRPr="00985C41">
        <w:rPr>
          <w:rFonts w:cstheme="minorHAnsi"/>
          <w:b/>
          <w:bCs/>
          <w:kern w:val="24"/>
          <w:sz w:val="20"/>
          <w:szCs w:val="20"/>
        </w:rPr>
        <w:t xml:space="preserve"> is the Programme about?</w:t>
      </w:r>
    </w:p>
    <w:p w14:paraId="6E2D969F" w14:textId="1265DB56" w:rsidR="008736B2" w:rsidRPr="00985C41" w:rsidRDefault="008736B2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 xml:space="preserve">Biomedical Science is the integrative scientific study of biological issues related to the support of the diagnosis and treatment of various conditions that affect people's quality of </w:t>
      </w:r>
      <w:r w:rsidR="00037856" w:rsidRPr="00985C41">
        <w:rPr>
          <w:rFonts w:eastAsiaTheme="minorHAnsi" w:cstheme="minorHAnsi"/>
          <w:kern w:val="24"/>
          <w:sz w:val="20"/>
          <w:szCs w:val="20"/>
        </w:rPr>
        <w:t>life.</w:t>
      </w:r>
    </w:p>
    <w:p w14:paraId="3FB79343" w14:textId="15A0566F" w:rsidR="008736B2" w:rsidRPr="00985C41" w:rsidRDefault="008736B2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 xml:space="preserve">This course will explore the theoretical and practical aspects of Clinical </w:t>
      </w:r>
      <w:r w:rsidR="00DB5B40" w:rsidRPr="00985C41">
        <w:rPr>
          <w:rFonts w:eastAsiaTheme="minorHAnsi" w:cstheme="minorHAnsi"/>
          <w:kern w:val="24"/>
          <w:sz w:val="20"/>
          <w:szCs w:val="20"/>
        </w:rPr>
        <w:t>Biochemistry</w:t>
      </w:r>
      <w:r w:rsidRPr="00985C41">
        <w:rPr>
          <w:rFonts w:eastAsiaTheme="minorHAnsi" w:cstheme="minorHAnsi"/>
          <w:kern w:val="24"/>
          <w:sz w:val="20"/>
          <w:szCs w:val="20"/>
        </w:rPr>
        <w:t xml:space="preserve"> within the context of the diagnostic and investigative discipline of Biomedical Science </w:t>
      </w:r>
    </w:p>
    <w:p w14:paraId="48F85A2C" w14:textId="0463A9BF" w:rsidR="00037856" w:rsidRPr="00985C41" w:rsidRDefault="00037856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>Biomedical Scientists are at the heart of healthcare – in diagnosis and treatment, monitoring and preventing diseases, and research and innovation.</w:t>
      </w:r>
    </w:p>
    <w:p w14:paraId="3A21D6C8" w14:textId="589729A1" w:rsidR="00037856" w:rsidRPr="00985C41" w:rsidRDefault="00037856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>This is a well-</w:t>
      </w:r>
      <w:r w:rsidR="004C2B7F" w:rsidRPr="00985C41">
        <w:rPr>
          <w:rFonts w:eastAsiaTheme="minorHAnsi" w:cstheme="minorHAnsi"/>
          <w:kern w:val="24"/>
          <w:sz w:val="20"/>
          <w:szCs w:val="20"/>
        </w:rPr>
        <w:t>recognised</w:t>
      </w:r>
      <w:r w:rsidRPr="00985C41">
        <w:rPr>
          <w:rFonts w:eastAsiaTheme="minorHAnsi" w:cstheme="minorHAnsi"/>
          <w:kern w:val="24"/>
          <w:sz w:val="20"/>
          <w:szCs w:val="20"/>
        </w:rPr>
        <w:t xml:space="preserve">, evidence </w:t>
      </w:r>
      <w:r w:rsidR="004C2B7F" w:rsidRPr="00985C41">
        <w:rPr>
          <w:rFonts w:eastAsiaTheme="minorHAnsi" w:cstheme="minorHAnsi"/>
          <w:kern w:val="24"/>
          <w:sz w:val="20"/>
          <w:szCs w:val="20"/>
        </w:rPr>
        <w:t xml:space="preserve">inform and valued profession that encompasses a holistic and lifespan approach to the provision of diagnostic, </w:t>
      </w:r>
      <w:proofErr w:type="gramStart"/>
      <w:r w:rsidR="004C2B7F" w:rsidRPr="00985C41">
        <w:rPr>
          <w:rFonts w:eastAsiaTheme="minorHAnsi" w:cstheme="minorHAnsi"/>
          <w:kern w:val="24"/>
          <w:sz w:val="20"/>
          <w:szCs w:val="20"/>
        </w:rPr>
        <w:t>assessment</w:t>
      </w:r>
      <w:proofErr w:type="gramEnd"/>
      <w:r w:rsidR="004C2B7F" w:rsidRPr="00985C41">
        <w:rPr>
          <w:rFonts w:eastAsiaTheme="minorHAnsi" w:cstheme="minorHAnsi"/>
          <w:kern w:val="24"/>
          <w:sz w:val="20"/>
          <w:szCs w:val="20"/>
        </w:rPr>
        <w:t xml:space="preserve"> and intervention.</w:t>
      </w:r>
    </w:p>
    <w:p w14:paraId="529EC940" w14:textId="77777777" w:rsidR="00BF795B" w:rsidRPr="00985C41" w:rsidRDefault="00BF795B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>Strong emphasis on practical and analytical skills that is applicable in the workplace.</w:t>
      </w:r>
    </w:p>
    <w:p w14:paraId="6A110CBD" w14:textId="77777777" w:rsidR="00BF795B" w:rsidRPr="00985C41" w:rsidRDefault="00BF795B" w:rsidP="006D0A48">
      <w:pPr>
        <w:spacing w:after="0" w:line="240" w:lineRule="auto"/>
        <w:rPr>
          <w:sz w:val="20"/>
          <w:szCs w:val="20"/>
        </w:rPr>
      </w:pPr>
    </w:p>
    <w:p w14:paraId="5FD00F78" w14:textId="268A77DC" w:rsidR="0020306B" w:rsidRPr="00985C41" w:rsidRDefault="0020306B" w:rsidP="006D0A48">
      <w:pPr>
        <w:spacing w:after="0" w:line="240" w:lineRule="auto"/>
        <w:rPr>
          <w:b/>
          <w:bCs/>
          <w:sz w:val="20"/>
          <w:szCs w:val="20"/>
        </w:rPr>
      </w:pPr>
      <w:r w:rsidRPr="00985C41">
        <w:rPr>
          <w:b/>
          <w:bCs/>
          <w:sz w:val="20"/>
          <w:szCs w:val="20"/>
        </w:rPr>
        <w:t xml:space="preserve">Important Things </w:t>
      </w:r>
      <w:proofErr w:type="gramStart"/>
      <w:r w:rsidRPr="00985C41">
        <w:rPr>
          <w:b/>
          <w:bCs/>
          <w:sz w:val="20"/>
          <w:szCs w:val="20"/>
        </w:rPr>
        <w:t>To</w:t>
      </w:r>
      <w:proofErr w:type="gramEnd"/>
      <w:r w:rsidRPr="00985C41">
        <w:rPr>
          <w:b/>
          <w:bCs/>
          <w:sz w:val="20"/>
          <w:szCs w:val="20"/>
        </w:rPr>
        <w:t xml:space="preserve"> Note</w:t>
      </w:r>
    </w:p>
    <w:p w14:paraId="4D26834E" w14:textId="2AD6D6F7" w:rsidR="00D63CC4" w:rsidRPr="00D63CC4" w:rsidRDefault="00D63CC4" w:rsidP="00D63CC4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D63CC4">
        <w:rPr>
          <w:rFonts w:eastAsiaTheme="minorHAnsi" w:cstheme="minorHAnsi"/>
          <w:kern w:val="24"/>
          <w:sz w:val="20"/>
          <w:szCs w:val="20"/>
        </w:rPr>
        <w:t>We are (Ranked 4th in UK) Top 5 for overall research quality</w:t>
      </w:r>
      <w:r w:rsidRPr="00985C41">
        <w:rPr>
          <w:rFonts w:eastAsiaTheme="minorHAnsi" w:cstheme="minorHAnsi"/>
          <w:kern w:val="24"/>
          <w:sz w:val="20"/>
          <w:szCs w:val="20"/>
        </w:rPr>
        <w:t xml:space="preserve"> (Research Excellence Framework 2021)</w:t>
      </w:r>
    </w:p>
    <w:p w14:paraId="0065C1C1" w14:textId="0A42A2D7" w:rsidR="00D63CC4" w:rsidRPr="00985C41" w:rsidRDefault="00D63CC4" w:rsidP="00D63CC4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D63CC4">
        <w:rPr>
          <w:rFonts w:eastAsiaTheme="minorHAnsi" w:cstheme="minorHAnsi"/>
          <w:kern w:val="24"/>
          <w:sz w:val="20"/>
          <w:szCs w:val="20"/>
        </w:rPr>
        <w:t>97% of our research outputs rated as world-leading or internationally excellent</w:t>
      </w:r>
      <w:r w:rsidRPr="00985C41">
        <w:rPr>
          <w:rFonts w:eastAsiaTheme="minorHAnsi" w:cstheme="minorHAnsi"/>
          <w:kern w:val="24"/>
          <w:sz w:val="20"/>
          <w:szCs w:val="20"/>
        </w:rPr>
        <w:t xml:space="preserve"> (Research Excellence Framework 2021)</w:t>
      </w:r>
    </w:p>
    <w:p w14:paraId="2925051F" w14:textId="77777777" w:rsidR="0020306B" w:rsidRPr="00985C41" w:rsidRDefault="0020306B" w:rsidP="006D0A48">
      <w:pPr>
        <w:spacing w:after="0" w:line="240" w:lineRule="auto"/>
        <w:rPr>
          <w:b/>
          <w:bCs/>
          <w:sz w:val="20"/>
          <w:szCs w:val="20"/>
        </w:rPr>
      </w:pPr>
    </w:p>
    <w:p w14:paraId="060FD0B8" w14:textId="782C8AA7" w:rsidR="0019321B" w:rsidRPr="00985C41" w:rsidRDefault="0019321B" w:rsidP="006D0A48">
      <w:pPr>
        <w:spacing w:after="0" w:line="240" w:lineRule="auto"/>
        <w:rPr>
          <w:b/>
          <w:bCs/>
          <w:sz w:val="20"/>
          <w:szCs w:val="20"/>
        </w:rPr>
      </w:pPr>
      <w:r w:rsidRPr="00985C41">
        <w:rPr>
          <w:b/>
          <w:bCs/>
          <w:sz w:val="20"/>
          <w:szCs w:val="20"/>
        </w:rPr>
        <w:t>Accreditation</w:t>
      </w:r>
    </w:p>
    <w:p w14:paraId="309B7078" w14:textId="77777777" w:rsidR="00BF795B" w:rsidRPr="00985C41" w:rsidRDefault="00BF795B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 xml:space="preserve">This course is not currently accredited by the Institute of Biomedical Science (IBMS) – Faculty working through the process.  IBMS is a UK only body for the accreditation of UG courses that lead to graduates to become registered with the Health Care Professional Council (HCPC) </w:t>
      </w:r>
      <w:proofErr w:type="gramStart"/>
      <w:r w:rsidRPr="00985C41">
        <w:rPr>
          <w:rFonts w:eastAsiaTheme="minorHAnsi" w:cstheme="minorHAnsi"/>
          <w:kern w:val="24"/>
          <w:sz w:val="20"/>
          <w:szCs w:val="20"/>
        </w:rPr>
        <w:t>in order to</w:t>
      </w:r>
      <w:proofErr w:type="gramEnd"/>
      <w:r w:rsidRPr="00985C41">
        <w:rPr>
          <w:rFonts w:eastAsiaTheme="minorHAnsi" w:cstheme="minorHAnsi"/>
          <w:kern w:val="24"/>
          <w:sz w:val="20"/>
          <w:szCs w:val="20"/>
        </w:rPr>
        <w:t xml:space="preserve"> work in the NHS in the UK.  IBMS do not accredit for Biomedical Scientists outside the UK.</w:t>
      </w:r>
    </w:p>
    <w:p w14:paraId="56368BBA" w14:textId="77777777" w:rsidR="00BF795B" w:rsidRPr="00985C41" w:rsidRDefault="00BF795B" w:rsidP="0020306B">
      <w:pPr>
        <w:pStyle w:val="ListParagraph"/>
        <w:numPr>
          <w:ilvl w:val="0"/>
          <w:numId w:val="2"/>
        </w:numPr>
        <w:spacing w:after="0" w:line="240" w:lineRule="auto"/>
        <w:ind w:left="723"/>
        <w:jc w:val="both"/>
        <w:rPr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>This programme is currently mapped to the educational requirements for IBMS Self-Registration Portfolio Route.  International graduates on this programme can apply via this route</w:t>
      </w:r>
      <w:r w:rsidRPr="00985C41">
        <w:rPr>
          <w:sz w:val="20"/>
          <w:szCs w:val="20"/>
        </w:rPr>
        <w:t xml:space="preserve"> </w:t>
      </w:r>
      <w:hyperlink r:id="rId13" w:history="1">
        <w:r w:rsidRPr="00985C41">
          <w:rPr>
            <w:rStyle w:val="Hyperlink"/>
            <w:sz w:val="20"/>
            <w:szCs w:val="20"/>
          </w:rPr>
          <w:t>IBMS Self-Registration Portfolio (with Certificate of Competence)</w:t>
        </w:r>
      </w:hyperlink>
      <w:r w:rsidRPr="00985C41">
        <w:rPr>
          <w:sz w:val="20"/>
          <w:szCs w:val="20"/>
        </w:rPr>
        <w:t xml:space="preserve"> to become HCPC registered.</w:t>
      </w:r>
    </w:p>
    <w:p w14:paraId="4C32C43A" w14:textId="09592E32" w:rsidR="00BF795B" w:rsidRPr="00985C41" w:rsidRDefault="00BF795B" w:rsidP="006D0A48">
      <w:pPr>
        <w:pStyle w:val="ListParagraph"/>
        <w:spacing w:after="0" w:line="216" w:lineRule="auto"/>
        <w:ind w:left="1080"/>
        <w:jc w:val="both"/>
        <w:rPr>
          <w:rFonts w:eastAsiaTheme="minorHAnsi" w:cstheme="minorHAnsi"/>
          <w:kern w:val="24"/>
          <w:sz w:val="20"/>
          <w:szCs w:val="20"/>
        </w:rPr>
      </w:pPr>
    </w:p>
    <w:p w14:paraId="4EDE2AA8" w14:textId="7FFF9644" w:rsidR="002349CD" w:rsidRPr="00985C41" w:rsidRDefault="005F30F0" w:rsidP="006D0A48">
      <w:pPr>
        <w:spacing w:after="0" w:line="216" w:lineRule="auto"/>
        <w:jc w:val="both"/>
        <w:rPr>
          <w:rFonts w:cstheme="minorHAnsi"/>
          <w:b/>
          <w:bCs/>
          <w:kern w:val="24"/>
          <w:sz w:val="20"/>
          <w:szCs w:val="20"/>
        </w:rPr>
      </w:pPr>
      <w:r w:rsidRPr="00985C41">
        <w:rPr>
          <w:rFonts w:cstheme="minorHAnsi"/>
          <w:b/>
          <w:bCs/>
          <w:kern w:val="24"/>
          <w:sz w:val="20"/>
          <w:szCs w:val="20"/>
        </w:rPr>
        <w:t>Modules within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1E48" w:rsidRPr="00985C41" w14:paraId="16AB6EE5" w14:textId="77777777" w:rsidTr="00FA70CE">
        <w:tc>
          <w:tcPr>
            <w:tcW w:w="4508" w:type="dxa"/>
          </w:tcPr>
          <w:p w14:paraId="4035837A" w14:textId="7069A427" w:rsidR="0007651F" w:rsidRPr="00985C41" w:rsidRDefault="00721B5C" w:rsidP="006D0A48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4" w:tgtFrame="_blank" w:history="1">
              <w:r w:rsidR="0007651F" w:rsidRPr="00985C41">
                <w:rPr>
                  <w:rFonts w:cstheme="minorHAnsi"/>
                  <w:kern w:val="24"/>
                  <w:sz w:val="20"/>
                  <w:szCs w:val="20"/>
                </w:rPr>
                <w:t>Introduction to Biomedical Science Practice in Health Care</w:t>
              </w:r>
            </w:hyperlink>
          </w:p>
        </w:tc>
        <w:tc>
          <w:tcPr>
            <w:tcW w:w="4508" w:type="dxa"/>
          </w:tcPr>
          <w:p w14:paraId="35A1AE60" w14:textId="616755C1" w:rsidR="0007651F" w:rsidRPr="00985C41" w:rsidRDefault="00721B5C" w:rsidP="006D0A48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5" w:tgtFrame="_blank" w:history="1">
              <w:r w:rsidR="0007651F" w:rsidRPr="00985C41">
                <w:rPr>
                  <w:rFonts w:cstheme="minorHAnsi"/>
                  <w:kern w:val="24"/>
                  <w:sz w:val="20"/>
                  <w:szCs w:val="20"/>
                </w:rPr>
                <w:t>Fundamentals of Biomedical Science</w:t>
              </w:r>
            </w:hyperlink>
          </w:p>
        </w:tc>
      </w:tr>
      <w:tr w:rsidR="00A51E48" w:rsidRPr="00985C41" w14:paraId="31C676D6" w14:textId="77777777" w:rsidTr="005E2273">
        <w:tc>
          <w:tcPr>
            <w:tcW w:w="4508" w:type="dxa"/>
          </w:tcPr>
          <w:p w14:paraId="49CA0EBF" w14:textId="62117A0E" w:rsidR="005E2273" w:rsidRPr="00985C41" w:rsidRDefault="00721B5C" w:rsidP="006D0A48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6" w:tgtFrame="_blank" w:history="1">
              <w:r w:rsidR="0007651F" w:rsidRPr="00985C41">
                <w:rPr>
                  <w:rFonts w:cstheme="minorHAnsi"/>
                  <w:kern w:val="24"/>
                  <w:sz w:val="20"/>
                  <w:szCs w:val="20"/>
                </w:rPr>
                <w:t>Laboratory Measurement Techniques for Medicinal Chemistry and Nanomedicine</w:t>
              </w:r>
            </w:hyperlink>
          </w:p>
        </w:tc>
        <w:tc>
          <w:tcPr>
            <w:tcW w:w="4508" w:type="dxa"/>
          </w:tcPr>
          <w:p w14:paraId="67A4A122" w14:textId="3D16288D" w:rsidR="005E2273" w:rsidRPr="00985C41" w:rsidRDefault="00721B5C" w:rsidP="006D0A48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7" w:tgtFrame="_blank" w:history="1">
              <w:r w:rsidR="0007651F" w:rsidRPr="00985C41">
                <w:rPr>
                  <w:rFonts w:cstheme="minorHAnsi"/>
                  <w:kern w:val="24"/>
                  <w:sz w:val="20"/>
                  <w:szCs w:val="20"/>
                </w:rPr>
                <w:t>Professional Practice Development 1</w:t>
              </w:r>
            </w:hyperlink>
          </w:p>
        </w:tc>
      </w:tr>
      <w:tr w:rsidR="005E2273" w:rsidRPr="00985C41" w14:paraId="17B6A43E" w14:textId="77777777" w:rsidTr="005E2273">
        <w:tc>
          <w:tcPr>
            <w:tcW w:w="4508" w:type="dxa"/>
          </w:tcPr>
          <w:p w14:paraId="25C9AF49" w14:textId="588A0F41" w:rsidR="005E2273" w:rsidRPr="00985C41" w:rsidRDefault="00721B5C" w:rsidP="006D0A48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8" w:tgtFrame="_blank" w:history="1">
              <w:r w:rsidR="0007651F" w:rsidRPr="00985C41">
                <w:rPr>
                  <w:rFonts w:cstheme="minorHAnsi"/>
                  <w:kern w:val="24"/>
                  <w:sz w:val="20"/>
                  <w:szCs w:val="20"/>
                </w:rPr>
                <w:t>Clinical Biochemistry for Biomedical Scientists</w:t>
              </w:r>
            </w:hyperlink>
          </w:p>
        </w:tc>
        <w:tc>
          <w:tcPr>
            <w:tcW w:w="4508" w:type="dxa"/>
          </w:tcPr>
          <w:p w14:paraId="45563832" w14:textId="47137A97" w:rsidR="005E2273" w:rsidRPr="00985C41" w:rsidRDefault="00721B5C" w:rsidP="006D0A48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9" w:tgtFrame="_blank" w:history="1">
              <w:r w:rsidR="0007651F" w:rsidRPr="00985C41">
                <w:rPr>
                  <w:rFonts w:cstheme="minorHAnsi"/>
                  <w:kern w:val="24"/>
                  <w:sz w:val="20"/>
                  <w:szCs w:val="20"/>
                </w:rPr>
                <w:t>Professional Practice Development 2</w:t>
              </w:r>
            </w:hyperlink>
          </w:p>
        </w:tc>
      </w:tr>
    </w:tbl>
    <w:p w14:paraId="722DA0A9" w14:textId="5B795CD1" w:rsidR="002349CD" w:rsidRPr="00985C41" w:rsidRDefault="002349CD" w:rsidP="006D0A48">
      <w:pPr>
        <w:spacing w:after="0"/>
        <w:rPr>
          <w:rFonts w:cstheme="minorHAnsi"/>
          <w:sz w:val="20"/>
          <w:szCs w:val="20"/>
        </w:rPr>
      </w:pPr>
    </w:p>
    <w:p w14:paraId="3D5217FD" w14:textId="38C8872D" w:rsidR="00EA4F91" w:rsidRPr="00985C41" w:rsidRDefault="00EA4F91" w:rsidP="006D0A48">
      <w:pPr>
        <w:spacing w:after="0"/>
        <w:rPr>
          <w:rFonts w:cstheme="minorHAnsi"/>
          <w:b/>
          <w:bCs/>
          <w:kern w:val="24"/>
          <w:sz w:val="20"/>
          <w:szCs w:val="20"/>
        </w:rPr>
      </w:pPr>
      <w:r w:rsidRPr="00985C41">
        <w:rPr>
          <w:rFonts w:cstheme="minorHAnsi"/>
          <w:b/>
          <w:bCs/>
          <w:kern w:val="24"/>
          <w:sz w:val="20"/>
          <w:szCs w:val="20"/>
        </w:rPr>
        <w:t>Employability - examples of roles after graduation</w:t>
      </w:r>
    </w:p>
    <w:p w14:paraId="13FB3C68" w14:textId="1365BB33" w:rsidR="002349CD" w:rsidRPr="00985C41" w:rsidRDefault="00566137" w:rsidP="006D0A48">
      <w:pPr>
        <w:pStyle w:val="ListParagraph"/>
        <w:numPr>
          <w:ilvl w:val="0"/>
          <w:numId w:val="4"/>
        </w:numPr>
        <w:tabs>
          <w:tab w:val="left" w:pos="1403"/>
        </w:tabs>
        <w:spacing w:after="0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 xml:space="preserve">Trainee Clinical Scientist </w:t>
      </w:r>
    </w:p>
    <w:p w14:paraId="40CB5132" w14:textId="5536BE98" w:rsidR="00566137" w:rsidRPr="00985C41" w:rsidRDefault="00566137" w:rsidP="006D0A48">
      <w:pPr>
        <w:pStyle w:val="ListParagraph"/>
        <w:numPr>
          <w:ilvl w:val="0"/>
          <w:numId w:val="4"/>
        </w:numPr>
        <w:tabs>
          <w:tab w:val="left" w:pos="1403"/>
        </w:tabs>
        <w:spacing w:after="0"/>
        <w:rPr>
          <w:rFonts w:eastAsiaTheme="minorHAnsi" w:cstheme="minorHAnsi"/>
          <w:kern w:val="24"/>
          <w:sz w:val="20"/>
          <w:szCs w:val="20"/>
        </w:rPr>
      </w:pPr>
      <w:r w:rsidRPr="00985C41">
        <w:rPr>
          <w:rFonts w:eastAsiaTheme="minorHAnsi" w:cstheme="minorHAnsi"/>
          <w:kern w:val="24"/>
          <w:sz w:val="20"/>
          <w:szCs w:val="20"/>
        </w:rPr>
        <w:t>PhD</w:t>
      </w:r>
      <w:r w:rsidR="00985C41">
        <w:rPr>
          <w:rFonts w:eastAsiaTheme="minorHAnsi" w:cstheme="minorHAnsi"/>
          <w:kern w:val="24"/>
          <w:sz w:val="20"/>
          <w:szCs w:val="20"/>
        </w:rPr>
        <w:t>, Academia</w:t>
      </w:r>
    </w:p>
    <w:p w14:paraId="49E897AB" w14:textId="2CA987E1" w:rsidR="00566137" w:rsidRPr="00985C41" w:rsidRDefault="00985C41" w:rsidP="00985C41">
      <w:pPr>
        <w:pStyle w:val="ListParagraph"/>
        <w:numPr>
          <w:ilvl w:val="0"/>
          <w:numId w:val="4"/>
        </w:numPr>
        <w:tabs>
          <w:tab w:val="left" w:pos="1403"/>
        </w:tabs>
        <w:spacing w:after="0"/>
        <w:rPr>
          <w:rFonts w:eastAsiaTheme="minorHAnsi" w:cstheme="minorHAnsi"/>
          <w:kern w:val="24"/>
          <w:sz w:val="20"/>
          <w:szCs w:val="20"/>
        </w:rPr>
      </w:pPr>
      <w:r>
        <w:rPr>
          <w:rFonts w:eastAsiaTheme="minorHAnsi" w:cstheme="minorHAnsi"/>
          <w:kern w:val="24"/>
          <w:sz w:val="20"/>
          <w:szCs w:val="20"/>
        </w:rPr>
        <w:t>Research Assistant</w:t>
      </w:r>
    </w:p>
    <w:sectPr w:rsidR="00566137" w:rsidRPr="00985C41" w:rsidSect="00FE0C62">
      <w:headerReference w:type="default" r:id="rId20"/>
      <w:footerReference w:type="default" r:id="rId21"/>
      <w:pgSz w:w="11906" w:h="16838"/>
      <w:pgMar w:top="873" w:right="1440" w:bottom="873" w:left="144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5F18" w14:textId="77777777" w:rsidR="00C95295" w:rsidRDefault="00C95295" w:rsidP="002349CD">
      <w:pPr>
        <w:spacing w:after="0" w:line="240" w:lineRule="auto"/>
      </w:pPr>
      <w:r>
        <w:separator/>
      </w:r>
    </w:p>
  </w:endnote>
  <w:endnote w:type="continuationSeparator" w:id="0">
    <w:p w14:paraId="7AB461E5" w14:textId="77777777" w:rsidR="00C95295" w:rsidRDefault="00C95295" w:rsidP="002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5B0E" w14:textId="2EFC5380" w:rsidR="00D66F68" w:rsidRPr="001C6B90" w:rsidRDefault="001C6B90" w:rsidP="001C6B90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6F94" w14:textId="77777777" w:rsidR="00C95295" w:rsidRDefault="00C95295" w:rsidP="002349CD">
      <w:pPr>
        <w:spacing w:after="0" w:line="240" w:lineRule="auto"/>
      </w:pPr>
      <w:r>
        <w:separator/>
      </w:r>
    </w:p>
  </w:footnote>
  <w:footnote w:type="continuationSeparator" w:id="0">
    <w:p w14:paraId="5F50A40F" w14:textId="77777777" w:rsidR="00C95295" w:rsidRDefault="00C95295" w:rsidP="0023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677" w14:textId="05505C3C" w:rsidR="00D66F68" w:rsidRDefault="00D66F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EF0D9C" wp14:editId="2C77B7BC">
          <wp:simplePos x="0" y="0"/>
          <wp:positionH relativeFrom="margin">
            <wp:posOffset>5570855</wp:posOffset>
          </wp:positionH>
          <wp:positionV relativeFrom="paragraph">
            <wp:posOffset>31750</wp:posOffset>
          </wp:positionV>
          <wp:extent cx="996462" cy="70929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62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2D"/>
    <w:multiLevelType w:val="hybridMultilevel"/>
    <w:tmpl w:val="DDC20F72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290"/>
    <w:multiLevelType w:val="hybridMultilevel"/>
    <w:tmpl w:val="80E0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26A9D"/>
    <w:multiLevelType w:val="multilevel"/>
    <w:tmpl w:val="BDE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237EC"/>
    <w:multiLevelType w:val="hybridMultilevel"/>
    <w:tmpl w:val="8C6A5B86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6271"/>
    <w:multiLevelType w:val="hybridMultilevel"/>
    <w:tmpl w:val="98F2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5C41"/>
    <w:multiLevelType w:val="hybridMultilevel"/>
    <w:tmpl w:val="D89087D2"/>
    <w:lvl w:ilvl="0" w:tplc="FD0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35E75"/>
    <w:multiLevelType w:val="multilevel"/>
    <w:tmpl w:val="E70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823552">
    <w:abstractNumId w:val="6"/>
  </w:num>
  <w:num w:numId="2" w16cid:durableId="876165554">
    <w:abstractNumId w:val="2"/>
  </w:num>
  <w:num w:numId="3" w16cid:durableId="124665640">
    <w:abstractNumId w:val="7"/>
  </w:num>
  <w:num w:numId="4" w16cid:durableId="780149861">
    <w:abstractNumId w:val="4"/>
  </w:num>
  <w:num w:numId="5" w16cid:durableId="899097345">
    <w:abstractNumId w:val="0"/>
  </w:num>
  <w:num w:numId="6" w16cid:durableId="822890275">
    <w:abstractNumId w:val="1"/>
  </w:num>
  <w:num w:numId="7" w16cid:durableId="830635131">
    <w:abstractNumId w:val="5"/>
  </w:num>
  <w:num w:numId="8" w16cid:durableId="275716145">
    <w:abstractNumId w:val="8"/>
  </w:num>
  <w:num w:numId="9" w16cid:durableId="198982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10926"/>
    <w:rsid w:val="00037856"/>
    <w:rsid w:val="00075373"/>
    <w:rsid w:val="0007651F"/>
    <w:rsid w:val="00094028"/>
    <w:rsid w:val="000B1985"/>
    <w:rsid w:val="000E0798"/>
    <w:rsid w:val="00191A6E"/>
    <w:rsid w:val="0019321B"/>
    <w:rsid w:val="001C6B90"/>
    <w:rsid w:val="0020306B"/>
    <w:rsid w:val="0021503E"/>
    <w:rsid w:val="002349CD"/>
    <w:rsid w:val="002860D0"/>
    <w:rsid w:val="002B5710"/>
    <w:rsid w:val="002E1F8B"/>
    <w:rsid w:val="003475C6"/>
    <w:rsid w:val="00413569"/>
    <w:rsid w:val="00422E89"/>
    <w:rsid w:val="00470349"/>
    <w:rsid w:val="004C2B7F"/>
    <w:rsid w:val="00517A5F"/>
    <w:rsid w:val="00566137"/>
    <w:rsid w:val="00566ADB"/>
    <w:rsid w:val="00580D33"/>
    <w:rsid w:val="005E2273"/>
    <w:rsid w:val="005E4B42"/>
    <w:rsid w:val="005F30F0"/>
    <w:rsid w:val="006206CF"/>
    <w:rsid w:val="00652A73"/>
    <w:rsid w:val="006D0A48"/>
    <w:rsid w:val="00707326"/>
    <w:rsid w:val="00713AE5"/>
    <w:rsid w:val="00721B5C"/>
    <w:rsid w:val="007824C6"/>
    <w:rsid w:val="00784C84"/>
    <w:rsid w:val="008736B2"/>
    <w:rsid w:val="008B2699"/>
    <w:rsid w:val="008D6278"/>
    <w:rsid w:val="00985C41"/>
    <w:rsid w:val="009A421A"/>
    <w:rsid w:val="00A51E48"/>
    <w:rsid w:val="00AD310C"/>
    <w:rsid w:val="00B3486C"/>
    <w:rsid w:val="00BB4294"/>
    <w:rsid w:val="00BF795B"/>
    <w:rsid w:val="00C04D53"/>
    <w:rsid w:val="00C44FC1"/>
    <w:rsid w:val="00C95295"/>
    <w:rsid w:val="00D041EC"/>
    <w:rsid w:val="00D63CC4"/>
    <w:rsid w:val="00D66F68"/>
    <w:rsid w:val="00DA3A5A"/>
    <w:rsid w:val="00DB5B40"/>
    <w:rsid w:val="00DC021E"/>
    <w:rsid w:val="00DE39B6"/>
    <w:rsid w:val="00E94BE5"/>
    <w:rsid w:val="00EA4F91"/>
    <w:rsid w:val="00EC0360"/>
    <w:rsid w:val="00F61381"/>
    <w:rsid w:val="00F86892"/>
    <w:rsid w:val="00FA5A16"/>
    <w:rsid w:val="00FC2BA0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B5D5"/>
  <w15:chartTrackingRefBased/>
  <w15:docId w15:val="{D7A8931E-A3F2-4509-A172-51F31B0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69"/>
  </w:style>
  <w:style w:type="paragraph" w:styleId="Heading1">
    <w:name w:val="heading 1"/>
    <w:basedOn w:val="Normal"/>
    <w:next w:val="Normal"/>
    <w:link w:val="Heading1Char"/>
    <w:uiPriority w:val="9"/>
    <w:qFormat/>
    <w:rsid w:val="004135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5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56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56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56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56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56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56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56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D"/>
  </w:style>
  <w:style w:type="paragraph" w:styleId="Footer">
    <w:name w:val="footer"/>
    <w:basedOn w:val="Normal"/>
    <w:link w:val="Foot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D"/>
  </w:style>
  <w:style w:type="table" w:styleId="TableGrid">
    <w:name w:val="Table Grid"/>
    <w:basedOn w:val="TableNormal"/>
    <w:uiPriority w:val="39"/>
    <w:rsid w:val="00DA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356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56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356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56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56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6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6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6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56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5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1356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356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56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56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13569"/>
    <w:rPr>
      <w:b/>
      <w:bCs/>
    </w:rPr>
  </w:style>
  <w:style w:type="character" w:styleId="Emphasis">
    <w:name w:val="Emphasis"/>
    <w:basedOn w:val="DefaultParagraphFont"/>
    <w:uiPriority w:val="20"/>
    <w:qFormat/>
    <w:rsid w:val="00413569"/>
    <w:rPr>
      <w:i/>
      <w:iCs/>
    </w:rPr>
  </w:style>
  <w:style w:type="paragraph" w:styleId="NoSpacing">
    <w:name w:val="No Spacing"/>
    <w:uiPriority w:val="1"/>
    <w:qFormat/>
    <w:rsid w:val="004135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356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1356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56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56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35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35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35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356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1356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5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www.ibms.org%2Feducation%2Fregistration-portfolio%2F&amp;data=05%7C01%7CC.Wu%40Swansea.ac.uk%7Cdd578388956e4580871f08dab747b227%7Cbbcab52e9fbe43d6a2f39f66c43df268%7C0%7C0%7C638023815792958685%7CUnknown%7CTWFpbGZsb3d8eyJWIjoiMC4wLjAwMDAiLCJQIjoiV2luMzIiLCJBTiI6Ik1haWwiLCJXVCI6Mn0%3D%7C3000%7C%7C%7C&amp;sdata=CkfVWr383JNwmJCZdwqr37iad4Dl5AAcrTo73Y%2BdRKw%3D&amp;reserved=0" TargetMode="External"/><Relationship Id="rId18" Type="http://schemas.openxmlformats.org/officeDocument/2006/relationships/hyperlink" Target="https://intranet.swan.ac.uk/catalogue/default.asp?type=moddetail&amp;dept=any&amp;mod=PMCB01&amp;ayr=23%2F24&amp;psl=TB2&amp;detailOnly=fal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17" Type="http://schemas.openxmlformats.org/officeDocument/2006/relationships/hyperlink" Target="https://intranet.swan.ac.uk/catalogue/default.asp?type=moddetail&amp;dept=any&amp;mod=PMPD01&amp;ayr=23%2F24&amp;psl=TB1&amp;detailOnly=fal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MLM01&amp;ayr=23%2F24&amp;psl=TB1&amp;detailOnly=fal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a/2023-Country-specific-information-for-international--EU-PG-applicant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MBM03&amp;ayr=23%2F24&amp;psl=TB1%2B2&amp;detailOnly=fal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wansea.ac.uk/postgraduate/taught/medicine/biomedical-science-clinical-microbiology-msc-pgdip/" TargetMode="External"/><Relationship Id="rId19" Type="http://schemas.openxmlformats.org/officeDocument/2006/relationships/hyperlink" Target="https://intranet.swan.ac.uk/catalogue/default.asp?type=moddetail&amp;dept=any&amp;mod=PMPD02&amp;ayr=23%2F24&amp;psl=TB2&amp;detailOnly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swan.ac.uk/catalogue/default.asp?type=moddetail&amp;dept=any&amp;mod=PMBM02&amp;ayr=23%2F24&amp;psl=TB1&amp;detailOnly=fals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68F39-AD49-4E2E-9277-9B77A1433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197E7-ADC2-4C01-9E9A-1AE116C5002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db3bd49b-6469-4f83-9a7a-f8009a209f85"/>
    <ds:schemaRef ds:uri="ce8b8a0e-d8b5-4681-859f-a8e96dad80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AC6712-2EAB-4F52-84FF-A1F7DB830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6</cp:revision>
  <dcterms:created xsi:type="dcterms:W3CDTF">2023-10-05T12:23:00Z</dcterms:created>
  <dcterms:modified xsi:type="dcterms:W3CDTF">2023-10-05T14:44:00Z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